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D1" w:rsidRDefault="004015D1" w:rsidP="006C6778">
      <w:pPr>
        <w:spacing w:after="0" w:line="240" w:lineRule="auto"/>
        <w:rPr>
          <w:rFonts w:ascii="Arial" w:eastAsia="Times New Roman" w:hAnsi="Arial" w:cs="Times New Roman"/>
          <w:b/>
          <w:sz w:val="24"/>
          <w:szCs w:val="20"/>
          <w:lang w:eastAsia="en-GB"/>
        </w:rPr>
      </w:pPr>
    </w:p>
    <w:p w:rsidR="006C6778" w:rsidRDefault="006C6778" w:rsidP="006C6778">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Bowgreave Rise Residential Care Home </w:t>
      </w:r>
    </w:p>
    <w:p w:rsidR="006C6778" w:rsidRDefault="006C6778" w:rsidP="006C6778">
      <w:pPr>
        <w:spacing w:after="0" w:line="240" w:lineRule="auto"/>
        <w:rPr>
          <w:rFonts w:ascii="Arial" w:eastAsia="Times New Roman" w:hAnsi="Arial" w:cs="Times New Roman"/>
          <w:b/>
          <w:sz w:val="24"/>
          <w:szCs w:val="20"/>
          <w:lang w:eastAsia="en-GB"/>
        </w:rPr>
      </w:pPr>
    </w:p>
    <w:p w:rsidR="006C6778" w:rsidRPr="006C6778" w:rsidRDefault="008F1E19" w:rsidP="006C6778">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Provision of Care Beds in Wyre for People with Dementia</w:t>
      </w:r>
    </w:p>
    <w:p w:rsidR="006C6778" w:rsidRPr="006C6778" w:rsidRDefault="006C6778" w:rsidP="006C6778">
      <w:pPr>
        <w:spacing w:after="0" w:line="240" w:lineRule="auto"/>
        <w:rPr>
          <w:rFonts w:ascii="Arial" w:eastAsia="Times New Roman" w:hAnsi="Arial" w:cs="Times New Roman"/>
          <w:sz w:val="24"/>
          <w:szCs w:val="20"/>
          <w:lang w:eastAsia="en-GB"/>
        </w:rPr>
      </w:pPr>
    </w:p>
    <w:p w:rsidR="006C6778" w:rsidRPr="006C6778" w:rsidRDefault="006C6778" w:rsidP="006C6778">
      <w:pPr>
        <w:spacing w:after="0" w:line="240" w:lineRule="auto"/>
        <w:jc w:val="both"/>
        <w:rPr>
          <w:rFonts w:ascii="Arial" w:eastAsia="Times New Roman" w:hAnsi="Arial" w:cs="Times New Roman"/>
          <w:sz w:val="24"/>
          <w:szCs w:val="20"/>
          <w:lang w:eastAsia="en-GB"/>
        </w:rPr>
      </w:pPr>
      <w:r w:rsidRPr="006C6778">
        <w:rPr>
          <w:rFonts w:ascii="Arial" w:eastAsia="Times New Roman" w:hAnsi="Arial" w:cs="Times New Roman"/>
          <w:sz w:val="24"/>
          <w:szCs w:val="20"/>
          <w:lang w:eastAsia="en-GB"/>
        </w:rPr>
        <w:t xml:space="preserve">This table demonstrates that there are low levels of provision in Wyre compared to other areas of Lancashire with only 26 beds per 1,000 population who are over 65 years old.  This in contrast to Rossendale with the highest level of provision at 47 beds per 1000 population. The figure is based on the number of care beds which people living with dementia can access, but are not exclusively for people with dementia. </w:t>
      </w:r>
    </w:p>
    <w:p w:rsidR="006C6778" w:rsidRPr="006C6778" w:rsidRDefault="006C6778" w:rsidP="006C6778">
      <w:pPr>
        <w:spacing w:after="0" w:line="240" w:lineRule="auto"/>
        <w:rPr>
          <w:rFonts w:ascii="Arial" w:eastAsia="Times New Roman" w:hAnsi="Arial" w:cs="Times New Roman"/>
          <w:sz w:val="24"/>
          <w:szCs w:val="20"/>
          <w:lang w:eastAsia="en-GB"/>
        </w:rPr>
      </w:pPr>
      <w:bookmarkStart w:id="0" w:name="_GoBack"/>
      <w:bookmarkEnd w:id="0"/>
    </w:p>
    <w:tbl>
      <w:tblPr>
        <w:tblpPr w:leftFromText="180" w:rightFromText="180" w:vertAnchor="text" w:horzAnchor="margin" w:tblpXSpec="center" w:tblpY="189"/>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699"/>
        <w:gridCol w:w="2268"/>
        <w:gridCol w:w="2303"/>
      </w:tblGrid>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rPr>
                <w:rFonts w:ascii="Arial" w:eastAsia="Times New Roman" w:hAnsi="Arial" w:cs="Arial"/>
                <w:color w:val="000000"/>
                <w:lang w:eastAsia="en-GB"/>
              </w:rPr>
            </w:pP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 xml:space="preserve">People aged 65 year old or over* </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Number of care home beds</w:t>
            </w:r>
          </w:p>
        </w:tc>
        <w:tc>
          <w:tcPr>
            <w:tcW w:w="2303" w:type="dxa"/>
            <w:shd w:val="clear" w:color="auto" w:fill="auto"/>
            <w:noWrap/>
            <w:vAlign w:val="bottom"/>
            <w:hideMark/>
          </w:tcPr>
          <w:p w:rsidR="006C6778" w:rsidRPr="006C6778" w:rsidRDefault="006C6778" w:rsidP="006C6778">
            <w:pPr>
              <w:spacing w:after="0" w:line="240" w:lineRule="auto"/>
              <w:rPr>
                <w:rFonts w:ascii="Arial" w:eastAsia="Times New Roman" w:hAnsi="Arial" w:cs="Arial"/>
                <w:color w:val="000000"/>
                <w:lang w:eastAsia="en-GB"/>
              </w:rPr>
            </w:pPr>
            <w:r w:rsidRPr="006C6778">
              <w:rPr>
                <w:rFonts w:ascii="Arial" w:eastAsia="Times New Roman" w:hAnsi="Arial" w:cs="Arial"/>
                <w:color w:val="000000"/>
                <w:lang w:eastAsia="en-GB"/>
              </w:rPr>
              <w:t>Beds per 1,000 population aged 65+</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Burnley</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16669</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528</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31.67</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Chorley</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23600</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779</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33.00</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Fylde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22282</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735</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32.98</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Hyndburn</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14986</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702</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46.84</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Lancaster</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29106</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826</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28.37</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Pendle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17210</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513</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29.80</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Preston</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21099</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813</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38.53</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Ribble Valley</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14437</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436</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30.20</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Rossendale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13393</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631</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47.11</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South Ribble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23801</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675</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28.36</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West Lancashire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25313</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848</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33.50</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Wyre</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31131</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832</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26.72</w:t>
            </w:r>
          </w:p>
        </w:tc>
      </w:tr>
      <w:tr w:rsidR="006C6778" w:rsidRPr="006C6778" w:rsidTr="00C54A17">
        <w:trPr>
          <w:trHeight w:val="273"/>
        </w:trPr>
        <w:tc>
          <w:tcPr>
            <w:tcW w:w="1945" w:type="dxa"/>
            <w:shd w:val="clear" w:color="auto" w:fill="auto"/>
            <w:noWrap/>
            <w:vAlign w:val="bottom"/>
            <w:hideMark/>
          </w:tcPr>
          <w:p w:rsidR="006C6778" w:rsidRPr="006C6778" w:rsidRDefault="006C6778" w:rsidP="006C6778">
            <w:pPr>
              <w:spacing w:after="0" w:line="240" w:lineRule="auto"/>
              <w:ind w:left="567"/>
              <w:rPr>
                <w:rFonts w:ascii="Arial" w:eastAsia="Times New Roman" w:hAnsi="Arial" w:cs="Arial"/>
                <w:color w:val="000000"/>
                <w:lang w:eastAsia="en-GB"/>
              </w:rPr>
            </w:pPr>
            <w:r w:rsidRPr="006C6778">
              <w:rPr>
                <w:rFonts w:ascii="Arial" w:eastAsia="Times New Roman" w:hAnsi="Arial" w:cs="Arial"/>
                <w:color w:val="000000"/>
                <w:lang w:eastAsia="en-GB"/>
              </w:rPr>
              <w:t>Grand Total</w:t>
            </w:r>
          </w:p>
        </w:tc>
        <w:tc>
          <w:tcPr>
            <w:tcW w:w="2699"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253027</w:t>
            </w:r>
          </w:p>
        </w:tc>
        <w:tc>
          <w:tcPr>
            <w:tcW w:w="2268"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8318</w:t>
            </w:r>
          </w:p>
        </w:tc>
        <w:tc>
          <w:tcPr>
            <w:tcW w:w="2303" w:type="dxa"/>
            <w:shd w:val="clear" w:color="auto" w:fill="auto"/>
            <w:noWrap/>
            <w:vAlign w:val="bottom"/>
            <w:hideMark/>
          </w:tcPr>
          <w:p w:rsidR="006C6778" w:rsidRPr="006C6778" w:rsidRDefault="006C6778" w:rsidP="006C6778">
            <w:pPr>
              <w:spacing w:after="0" w:line="240" w:lineRule="auto"/>
              <w:jc w:val="right"/>
              <w:rPr>
                <w:rFonts w:ascii="Arial" w:eastAsia="Times New Roman" w:hAnsi="Arial" w:cs="Arial"/>
                <w:color w:val="000000"/>
                <w:lang w:eastAsia="en-GB"/>
              </w:rPr>
            </w:pPr>
            <w:r w:rsidRPr="006C6778">
              <w:rPr>
                <w:rFonts w:ascii="Arial" w:eastAsia="Times New Roman" w:hAnsi="Arial" w:cs="Arial"/>
                <w:color w:val="000000"/>
                <w:lang w:eastAsia="en-GB"/>
              </w:rPr>
              <w:t>32.87</w:t>
            </w:r>
          </w:p>
        </w:tc>
      </w:tr>
    </w:tbl>
    <w:p w:rsidR="006C6778" w:rsidRPr="006C6778" w:rsidRDefault="006C6778" w:rsidP="006C6778">
      <w:pPr>
        <w:spacing w:after="0" w:line="240" w:lineRule="auto"/>
        <w:rPr>
          <w:rFonts w:ascii="Arial" w:eastAsia="Times New Roman" w:hAnsi="Arial" w:cs="Times New Roman"/>
          <w:sz w:val="24"/>
          <w:szCs w:val="20"/>
          <w:lang w:eastAsia="en-GB"/>
        </w:rPr>
      </w:pPr>
    </w:p>
    <w:p w:rsidR="006C6778" w:rsidRPr="006C6778" w:rsidRDefault="006C6778" w:rsidP="006C6778">
      <w:pPr>
        <w:spacing w:after="0" w:line="240" w:lineRule="auto"/>
        <w:jc w:val="both"/>
        <w:rPr>
          <w:rFonts w:ascii="Arial" w:eastAsia="Times New Roman" w:hAnsi="Arial" w:cs="Times New Roman"/>
          <w:sz w:val="16"/>
          <w:szCs w:val="16"/>
          <w:lang w:eastAsia="en-GB"/>
        </w:rPr>
      </w:pPr>
      <w:r w:rsidRPr="006C6778">
        <w:rPr>
          <w:rFonts w:ascii="Arial" w:eastAsia="Times New Roman" w:hAnsi="Arial" w:cs="Times New Roman"/>
          <w:sz w:val="16"/>
          <w:szCs w:val="16"/>
          <w:lang w:eastAsia="en-GB"/>
        </w:rPr>
        <w:t xml:space="preserve">*2019 </w:t>
      </w:r>
      <w:proofErr w:type="spellStart"/>
      <w:r w:rsidRPr="006C6778">
        <w:rPr>
          <w:rFonts w:ascii="Arial" w:eastAsia="Times New Roman" w:hAnsi="Arial" w:cs="Times New Roman"/>
          <w:sz w:val="16"/>
          <w:szCs w:val="16"/>
          <w:lang w:eastAsia="en-GB"/>
        </w:rPr>
        <w:t>mid year</w:t>
      </w:r>
      <w:proofErr w:type="spellEnd"/>
      <w:r w:rsidRPr="006C6778">
        <w:rPr>
          <w:rFonts w:ascii="Arial" w:eastAsia="Times New Roman" w:hAnsi="Arial" w:cs="Times New Roman"/>
          <w:sz w:val="16"/>
          <w:szCs w:val="16"/>
          <w:lang w:eastAsia="en-GB"/>
        </w:rPr>
        <w:t xml:space="preserve"> estimates</w:t>
      </w:r>
    </w:p>
    <w:p w:rsidR="006C6778" w:rsidRPr="006C6778" w:rsidRDefault="006C6778" w:rsidP="006C6778">
      <w:pPr>
        <w:spacing w:after="0" w:line="240" w:lineRule="auto"/>
        <w:rPr>
          <w:rFonts w:ascii="Arial" w:eastAsia="Times New Roman" w:hAnsi="Arial" w:cs="Times New Roman"/>
          <w:sz w:val="24"/>
          <w:szCs w:val="20"/>
          <w:lang w:eastAsia="en-GB"/>
        </w:rPr>
      </w:pPr>
    </w:p>
    <w:p w:rsidR="00DB5907" w:rsidRDefault="00DB5907"/>
    <w:sectPr w:rsidR="00DB5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8"/>
    <w:rsid w:val="004015D1"/>
    <w:rsid w:val="005E3AF9"/>
    <w:rsid w:val="006C6778"/>
    <w:rsid w:val="008F1E19"/>
    <w:rsid w:val="00DB5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8898"/>
  <w15:chartTrackingRefBased/>
  <w15:docId w15:val="{75117D95-36F0-4683-8E8C-4FAD620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Sarah</dc:creator>
  <cp:keywords/>
  <dc:description/>
  <cp:lastModifiedBy>Gorman, Dave</cp:lastModifiedBy>
  <cp:revision>4</cp:revision>
  <dcterms:created xsi:type="dcterms:W3CDTF">2020-08-19T10:41:00Z</dcterms:created>
  <dcterms:modified xsi:type="dcterms:W3CDTF">2020-08-20T07:21:00Z</dcterms:modified>
</cp:coreProperties>
</file>